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61"/>
        <w:widowControl/>
        <w:spacing w:lineRule="auto" w:line="240"/>
        <w:jc w:val="center"/>
        <w:rPr>
          <w:rStyle w:val="FontStyle15"/>
          <w:b/>
          <w:bCs/>
          <w:sz w:val="24"/>
          <w:szCs w:val="24"/>
          <w:lang w:val="ru-RU"/>
        </w:rPr>
      </w:pPr>
      <w:r>
        <w:rPr>
          <w:rStyle w:val="FontStyle15"/>
          <w:b/>
          <w:bCs/>
          <w:sz w:val="24"/>
          <w:szCs w:val="24"/>
        </w:rPr>
        <w:t>ФКУЗ Ставропольский противочумный институт Роспотребнадзора</w:t>
      </w:r>
      <w:r>
        <w:rPr>
          <w:rStyle w:val="FontStyle15"/>
          <w:b/>
          <w:bCs/>
          <w:sz w:val="24"/>
          <w:szCs w:val="24"/>
          <w:lang w:val="ru-RU"/>
        </w:rPr>
        <w:t xml:space="preserve"> </w:t>
      </w:r>
    </w:p>
    <w:p>
      <w:pPr>
        <w:pStyle w:val="Style61"/>
        <w:widowControl/>
        <w:spacing w:lineRule="auto" w:line="240"/>
        <w:jc w:val="center"/>
        <w:rPr>
          <w:rStyle w:val="FontStyle15"/>
          <w:b/>
          <w:bCs/>
          <w:sz w:val="24"/>
          <w:szCs w:val="24"/>
          <w:lang w:val="ru-RU"/>
        </w:rPr>
      </w:pPr>
      <w:r>
        <w:rPr>
          <w:rStyle w:val="FontStyle15"/>
          <w:b/>
          <w:bCs/>
          <w:sz w:val="24"/>
          <w:szCs w:val="24"/>
          <w:lang w:val="ru-RU"/>
        </w:rPr>
        <w:t>объявляет конкурс на замещение д</w:t>
      </w:r>
      <w:r>
        <w:rPr>
          <w:rStyle w:val="FontStyle15"/>
          <w:b/>
          <w:bCs/>
          <w:sz w:val="24"/>
          <w:szCs w:val="24"/>
        </w:rPr>
        <w:t>олжност</w:t>
      </w:r>
      <w:r>
        <w:rPr>
          <w:rStyle w:val="FontStyle15"/>
          <w:b/>
          <w:bCs/>
          <w:sz w:val="24"/>
          <w:szCs w:val="24"/>
          <w:lang w:val="ru-RU"/>
        </w:rPr>
        <w:t xml:space="preserve">и ведущего научного сотрудника </w:t>
      </w:r>
    </w:p>
    <w:p>
      <w:pPr>
        <w:pStyle w:val="Style61"/>
        <w:widowControl/>
        <w:spacing w:lineRule="auto" w:line="240"/>
        <w:jc w:val="center"/>
        <w:rPr>
          <w:rStyle w:val="FontStyle15"/>
          <w:b/>
          <w:bCs/>
          <w:sz w:val="24"/>
          <w:szCs w:val="24"/>
          <w:lang w:val="ru-RU"/>
        </w:rPr>
      </w:pPr>
      <w:r>
        <w:rPr>
          <w:rStyle w:val="FontStyle15"/>
          <w:b/>
          <w:bCs/>
          <w:sz w:val="24"/>
          <w:szCs w:val="24"/>
          <w:lang w:val="ru-RU"/>
        </w:rPr>
        <w:t xml:space="preserve">лаборатории питательных сред для культивирования микроорганизмов </w:t>
      </w:r>
    </w:p>
    <w:p>
      <w:pPr>
        <w:pStyle w:val="Style61"/>
        <w:widowControl/>
        <w:spacing w:lineRule="auto" w:line="240"/>
        <w:jc w:val="center"/>
        <w:rPr>
          <w:rStyle w:val="FontStyle15"/>
          <w:b/>
          <w:bCs/>
          <w:sz w:val="24"/>
          <w:szCs w:val="24"/>
        </w:rPr>
      </w:pPr>
      <w:r>
        <w:rPr>
          <w:rStyle w:val="FontStyle15"/>
          <w:b/>
          <w:bCs/>
          <w:sz w:val="24"/>
          <w:szCs w:val="24"/>
          <w:lang w:val="en-US"/>
        </w:rPr>
        <w:t>I</w:t>
      </w:r>
      <w:r>
        <w:rPr>
          <w:rStyle w:val="FontStyle15"/>
          <w:b/>
          <w:bCs/>
          <w:sz w:val="24"/>
          <w:szCs w:val="24"/>
        </w:rPr>
        <w:t>-</w:t>
      </w:r>
      <w:r>
        <w:rPr>
          <w:rStyle w:val="FontStyle15"/>
          <w:b/>
          <w:bCs/>
          <w:sz w:val="24"/>
          <w:szCs w:val="24"/>
          <w:lang w:val="en-US"/>
        </w:rPr>
        <w:t>IV</w:t>
      </w:r>
      <w:r>
        <w:rPr>
          <w:rStyle w:val="FontStyle15"/>
          <w:b/>
          <w:bCs/>
          <w:sz w:val="24"/>
          <w:szCs w:val="24"/>
        </w:rPr>
        <w:t xml:space="preserve"> групп патогенности</w:t>
      </w:r>
    </w:p>
    <w:p>
      <w:pPr>
        <w:pStyle w:val="Style71"/>
        <w:widowControl/>
        <w:tabs>
          <w:tab w:val="clear" w:pos="720"/>
          <w:tab w:val="left" w:pos="567" w:leader="none"/>
        </w:tabs>
        <w:ind w:firstLine="567"/>
        <w:rPr>
          <w:b/>
          <w:bCs/>
          <w:lang w:val="ru-RU"/>
        </w:rPr>
      </w:pPr>
      <w:r>
        <w:rPr>
          <w:b/>
          <w:bCs/>
          <w:lang w:val="ru-RU"/>
        </w:rPr>
      </w:r>
    </w:p>
    <w:p>
      <w:pPr>
        <w:pStyle w:val="Style71"/>
        <w:widowControl/>
        <w:tabs>
          <w:tab w:val="clear" w:pos="720"/>
          <w:tab w:val="left" w:pos="567" w:leader="none"/>
        </w:tabs>
        <w:ind w:firstLine="567"/>
        <w:rPr>
          <w:color w:val="464C55"/>
        </w:rPr>
      </w:pPr>
      <w:r>
        <w:rPr>
          <w:b/>
          <w:bCs/>
          <w:lang w:val="ru-RU"/>
        </w:rPr>
        <w:t>Требования к кандидатам</w:t>
      </w:r>
      <w:r>
        <w:rPr>
          <w:color w:val="464C55"/>
        </w:rPr>
        <w:t xml:space="preserve"> </w:t>
      </w:r>
    </w:p>
    <w:p>
      <w:pPr>
        <w:pStyle w:val="Style71"/>
        <w:widowControl/>
        <w:tabs>
          <w:tab w:val="clear" w:pos="720"/>
          <w:tab w:val="left" w:pos="567" w:leader="none"/>
        </w:tabs>
        <w:ind w:firstLine="567"/>
        <w:rPr>
          <w:color w:val="464C55"/>
        </w:rPr>
      </w:pPr>
      <w:r>
        <w:rPr>
          <w:color w:val="464C55"/>
        </w:rPr>
      </w:r>
    </w:p>
    <w:p>
      <w:pPr>
        <w:pStyle w:val="Normal"/>
        <w:ind w:firstLine="708"/>
        <w:jc w:val="both"/>
        <w:rPr/>
      </w:pPr>
      <w:r>
        <w:rPr>
          <w:rStyle w:val="FontStyle15"/>
          <w:sz w:val="24"/>
          <w:szCs w:val="24"/>
        </w:rPr>
        <w:t xml:space="preserve">Высшее </w:t>
      </w:r>
      <w:r>
        <w:rPr/>
        <w:t>профессиональное</w:t>
      </w:r>
      <w:r>
        <w:rPr>
          <w:rStyle w:val="FontStyle15"/>
          <w:sz w:val="24"/>
          <w:szCs w:val="24"/>
        </w:rPr>
        <w:t xml:space="preserve"> биологическое или медицинское образование.</w:t>
      </w:r>
      <w:r>
        <w:rPr/>
        <w:t xml:space="preserve"> Опыт работы по специальности не менее 10 лет, дополнительное профессиональное образование в соответствии с направлением профессиональной деятельности, ученая степень кандидата наук. Наличие научных публикаций и патентов на изобретения - не менее 50.</w:t>
      </w:r>
    </w:p>
    <w:p>
      <w:pPr>
        <w:pStyle w:val="Style81"/>
        <w:widowControl/>
        <w:tabs>
          <w:tab w:val="clear" w:pos="720"/>
          <w:tab w:val="left" w:pos="773" w:leader="none"/>
        </w:tabs>
        <w:spacing w:lineRule="auto" w:line="240"/>
        <w:ind w:firstLineChars="257"/>
        <w:rPr>
          <w:rStyle w:val="FontStyle15"/>
          <w:sz w:val="24"/>
          <w:szCs w:val="24"/>
        </w:rPr>
      </w:pPr>
      <w:r>
        <w:rPr>
          <w:rStyle w:val="FontStyle15"/>
          <w:sz w:val="24"/>
          <w:szCs w:val="24"/>
        </w:rPr>
        <w:t>Отсутствие медицинских противопоказаний для работы с микроорганизмами I-IV гр. патогенности.</w:t>
      </w:r>
    </w:p>
    <w:p>
      <w:pPr>
        <w:pStyle w:val="Style61"/>
        <w:widowControl/>
        <w:spacing w:lineRule="auto" w:line="240"/>
        <w:ind w:firstLine="708"/>
        <w:rPr>
          <w:rStyle w:val="FontStyle15"/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Style61"/>
        <w:widowControl/>
        <w:spacing w:lineRule="auto" w:line="240"/>
        <w:ind w:firstLine="708"/>
        <w:rPr>
          <w:rStyle w:val="FontStyle15"/>
          <w:sz w:val="24"/>
          <w:szCs w:val="24"/>
          <w:u w:val="single"/>
        </w:rPr>
      </w:pPr>
      <w:r>
        <w:rPr>
          <w:rStyle w:val="FontStyle15"/>
          <w:sz w:val="24"/>
          <w:szCs w:val="24"/>
          <w:u w:val="single"/>
        </w:rPr>
        <w:t xml:space="preserve">Основные задачи и обязанности ведущего научного сотрудника лаборатории </w:t>
      </w:r>
      <w:r>
        <w:rPr>
          <w:rStyle w:val="FontStyle15"/>
          <w:bCs/>
          <w:sz w:val="24"/>
          <w:szCs w:val="24"/>
          <w:u w:val="single"/>
        </w:rPr>
        <w:t xml:space="preserve">питательных сред для культивирования микроорганизмов </w:t>
      </w:r>
      <w:r>
        <w:rPr>
          <w:rStyle w:val="FontStyle15"/>
          <w:bCs/>
          <w:sz w:val="24"/>
          <w:szCs w:val="24"/>
          <w:u w:val="single"/>
          <w:lang w:val="en-US"/>
        </w:rPr>
        <w:t>I</w:t>
      </w:r>
      <w:r>
        <w:rPr>
          <w:rStyle w:val="FontStyle15"/>
          <w:bCs/>
          <w:sz w:val="24"/>
          <w:szCs w:val="24"/>
          <w:u w:val="single"/>
        </w:rPr>
        <w:t>-</w:t>
      </w:r>
      <w:r>
        <w:rPr>
          <w:rStyle w:val="FontStyle15"/>
          <w:bCs/>
          <w:sz w:val="24"/>
          <w:szCs w:val="24"/>
          <w:u w:val="single"/>
          <w:lang w:val="en-US"/>
        </w:rPr>
        <w:t>IV</w:t>
      </w:r>
      <w:r>
        <w:rPr>
          <w:rStyle w:val="FontStyle15"/>
          <w:bCs/>
          <w:sz w:val="24"/>
          <w:szCs w:val="24"/>
          <w:u w:val="single"/>
        </w:rPr>
        <w:t xml:space="preserve"> групп патогенности</w:t>
      </w:r>
      <w:r>
        <w:rPr>
          <w:rStyle w:val="FontStyle15"/>
          <w:sz w:val="24"/>
          <w:szCs w:val="24"/>
          <w:u w:val="single"/>
        </w:rPr>
        <w:t>:</w:t>
      </w:r>
    </w:p>
    <w:p>
      <w:pPr>
        <w:pStyle w:val="Style81"/>
        <w:widowControl/>
        <w:tabs>
          <w:tab w:val="clear" w:pos="720"/>
          <w:tab w:val="left" w:pos="773" w:leader="none"/>
        </w:tabs>
        <w:spacing w:lineRule="auto" w:line="240"/>
        <w:ind w:firstLineChars="257"/>
        <w:rPr>
          <w:rStyle w:val="FontStyle15"/>
          <w:sz w:val="24"/>
          <w:szCs w:val="24"/>
        </w:rPr>
      </w:pPr>
      <w:r>
        <w:rPr>
          <w:sz w:val="24"/>
          <w:szCs w:val="24"/>
        </w:rPr>
      </w:r>
    </w:p>
    <w:p>
      <w:pPr>
        <w:pStyle w:val="Style61"/>
        <w:widowControl/>
        <w:spacing w:lineRule="auto" w:line="240"/>
        <w:ind w:firstLine="708"/>
        <w:rPr>
          <w:rStyle w:val="FontStyle15"/>
          <w:sz w:val="24"/>
          <w:szCs w:val="24"/>
          <w:u w:val="single"/>
          <w:lang w:val="ru-RU"/>
        </w:rPr>
      </w:pPr>
      <w:r>
        <w:rPr>
          <w:lang w:val="ru-RU"/>
        </w:rPr>
        <w:t>- научное руководство группой при проведении НИР</w:t>
      </w:r>
      <w:r>
        <w:rPr/>
        <w:t xml:space="preserve"> или</w:t>
      </w:r>
      <w:r>
        <w:rPr>
          <w:lang w:val="ru-RU"/>
        </w:rPr>
        <w:t xml:space="preserve"> выполнение в качестве </w:t>
      </w:r>
      <w:r>
        <w:rPr/>
        <w:t xml:space="preserve">ответственного </w:t>
      </w:r>
      <w:r>
        <w:rPr>
          <w:lang w:val="ru-RU"/>
        </w:rPr>
        <w:t>исполнителя наиболее сложных и ответственных этапов работы;</w:t>
      </w:r>
      <w:r>
        <w:rPr/>
        <w:t xml:space="preserve"> </w:t>
      </w:r>
    </w:p>
    <w:p>
      <w:pPr>
        <w:pStyle w:val="Normal"/>
        <w:ind w:firstLineChars="295"/>
        <w:jc w:val="both"/>
        <w:rPr/>
      </w:pPr>
      <w:r>
        <w:rPr/>
        <w:t>- обоснование направления новых исследований и разработок и методов их выполнения, разработка научно-технических решений по наиболее сложным проблемам, планов и методов проведения исследований и разработок в рамках НИР; координация деятельности соисполнителей при совместном их выполнении с другими учреждениями (организациями), анализ и обобщение научно-технической информации, передового отечественного и зарубежного опыта, результатов экспериментов и наблюдений;</w:t>
      </w:r>
    </w:p>
    <w:p>
      <w:pPr>
        <w:pStyle w:val="Normal"/>
        <w:ind w:firstLineChars="295"/>
        <w:jc w:val="both"/>
        <w:rPr/>
      </w:pPr>
      <w:r>
        <w:rPr>
          <w:rStyle w:val="FontStyle11"/>
          <w:sz w:val="24"/>
          <w:szCs w:val="24"/>
        </w:rPr>
        <w:t>-</w:t>
      </w:r>
      <w:r>
        <w:rPr/>
        <w:t> анализ результатов НИР, подготовка публикаций, промежуточных и заключительных отчетов;</w:t>
      </w:r>
    </w:p>
    <w:p>
      <w:pPr>
        <w:pStyle w:val="Style61"/>
        <w:widowControl/>
        <w:spacing w:lineRule="auto" w:line="240"/>
        <w:ind w:firstLine="708"/>
        <w:rPr/>
      </w:pPr>
      <w:r>
        <w:rPr/>
        <w:t>- разработка объектов интеллектуальной собственности (заявки на изобретения, базы данных), нормативно-методических документов;</w:t>
      </w:r>
      <w:r>
        <w:rPr>
          <w:rStyle w:val="FontStyle11"/>
          <w:sz w:val="24"/>
          <w:szCs w:val="24"/>
        </w:rPr>
        <w:t xml:space="preserve"> у</w:t>
      </w:r>
      <w:r>
        <w:rPr/>
        <w:t xml:space="preserve">частие в составлении планов и методических программ исследований и разработок, практических рекомендаций по использованию их результатов; определение сферы применения результатов научных исследований и разработок, организация практической реализации </w:t>
      </w:r>
      <w:bookmarkStart w:id="0" w:name="_GoBack"/>
      <w:bookmarkEnd w:id="0"/>
      <w:r>
        <w:rPr/>
        <w:t>этих результатов;</w:t>
      </w:r>
    </w:p>
    <w:p>
      <w:pPr>
        <w:pStyle w:val="Normal"/>
        <w:ind w:firstLine="708"/>
        <w:jc w:val="both"/>
        <w:rPr>
          <w:shd w:fill="FFFFFF" w:val="clear"/>
        </w:rPr>
      </w:pPr>
      <w:r>
        <w:rPr>
          <w:shd w:fill="FFFFFF" w:val="clear"/>
        </w:rPr>
        <w:t>- проведение экспериментальных исследований с возбудителями I-I</w:t>
      </w:r>
      <w:r>
        <w:rPr>
          <w:rStyle w:val="FontStyle15"/>
          <w:bCs/>
          <w:sz w:val="24"/>
          <w:szCs w:val="24"/>
          <w:lang w:val="en-US"/>
        </w:rPr>
        <w:t>V</w:t>
      </w:r>
      <w:r>
        <w:rPr>
          <w:b/>
          <w:shd w:fill="FFFFFF" w:val="clear"/>
        </w:rPr>
        <w:t xml:space="preserve"> </w:t>
      </w:r>
      <w:r>
        <w:rPr>
          <w:shd w:fill="FFFFFF" w:val="clear"/>
        </w:rPr>
        <w:t xml:space="preserve">групп патогенности в </w:t>
      </w:r>
      <w:r>
        <w:rPr>
          <w:caps/>
          <w:shd w:fill="FFFFFF" w:val="clear"/>
        </w:rPr>
        <w:t>«</w:t>
      </w:r>
      <w:r>
        <w:rPr>
          <w:shd w:fill="FFFFFF" w:val="clear"/>
        </w:rPr>
        <w:t>заразной</w:t>
      </w:r>
      <w:r>
        <w:rPr>
          <w:caps/>
          <w:shd w:fill="FFFFFF" w:val="clear"/>
        </w:rPr>
        <w:t>»</w:t>
      </w:r>
      <w:r>
        <w:rPr>
          <w:shd w:fill="FFFFFF" w:val="clear"/>
        </w:rPr>
        <w:t xml:space="preserve"> зоне и в блоке для работы с инфицированными животными;</w:t>
      </w:r>
    </w:p>
    <w:p>
      <w:pPr>
        <w:pStyle w:val="Normal"/>
        <w:ind w:firstLine="708"/>
        <w:jc w:val="both"/>
        <w:rPr>
          <w:rStyle w:val="FontStyle11"/>
          <w:sz w:val="24"/>
          <w:szCs w:val="24"/>
        </w:rPr>
      </w:pPr>
      <w:r>
        <w:rPr/>
        <w:t>- контроль работы младшего и среднего персонала на вверенных этапах производства питательных основ, сред и растворов;</w:t>
      </w:r>
    </w:p>
    <w:p>
      <w:pPr>
        <w:pStyle w:val="Style18"/>
        <w:widowControl/>
        <w:tabs>
          <w:tab w:val="clear" w:pos="720"/>
          <w:tab w:val="left" w:pos="826" w:leader="none"/>
        </w:tabs>
        <w:spacing w:lineRule="auto" w:line="240"/>
        <w:ind w:firstLineChars="295"/>
        <w:jc w:val="both"/>
        <w:rPr>
          <w:rStyle w:val="FontStyle11"/>
          <w:sz w:val="24"/>
          <w:szCs w:val="24"/>
        </w:rPr>
      </w:pPr>
      <w:r>
        <w:rPr/>
        <w:t>- подготовка научных кадров и участие в повышении их квалификации.</w:t>
      </w:r>
    </w:p>
    <w:p>
      <w:pPr>
        <w:pStyle w:val="Normal"/>
        <w:ind w:firstLineChars="171"/>
        <w:jc w:val="both"/>
        <w:rPr>
          <w:rStyle w:val="FontStyle15"/>
          <w:sz w:val="24"/>
          <w:szCs w:val="24"/>
          <w:lang w:val="ru-RU"/>
        </w:rPr>
      </w:pPr>
      <w:r>
        <w:rPr>
          <w:rStyle w:val="FontStyle15"/>
          <w:sz w:val="24"/>
          <w:szCs w:val="24"/>
          <w:lang w:val="ru-RU"/>
        </w:rPr>
        <w:t>Трудовой договор, заключаемый с победителем конкурса: на неопределенный срок с обязательной аттестацией не реже одного раза в 5 лет.</w:t>
      </w:r>
    </w:p>
    <w:p>
      <w:pPr>
        <w:pStyle w:val="Normal"/>
        <w:ind w:firstLineChars="171"/>
        <w:rPr>
          <w:rStyle w:val="FontStyle15"/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ind w:firstLineChars="171"/>
        <w:rPr>
          <w:rStyle w:val="FontStyle15"/>
          <w:sz w:val="24"/>
          <w:szCs w:val="24"/>
          <w:lang w:val="ru-RU"/>
        </w:rPr>
      </w:pPr>
      <w:r>
        <w:rPr>
          <w:rStyle w:val="FontStyle15"/>
          <w:sz w:val="24"/>
          <w:szCs w:val="24"/>
          <w:lang w:val="ru-RU"/>
        </w:rPr>
        <w:t xml:space="preserve">Заработная плата: от 90 000 руб. </w:t>
      </w:r>
    </w:p>
    <w:p>
      <w:pPr>
        <w:pStyle w:val="Normal"/>
        <w:ind w:firstLineChars="171"/>
        <w:rPr>
          <w:rStyle w:val="FontStyle15"/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ind w:firstLineChars="171"/>
        <w:rPr>
          <w:rStyle w:val="FontStyle15"/>
          <w:sz w:val="24"/>
          <w:szCs w:val="24"/>
          <w:lang w:val="ru-RU"/>
        </w:rPr>
      </w:pPr>
      <w:r>
        <w:rPr>
          <w:rStyle w:val="FontStyle15"/>
          <w:sz w:val="24"/>
          <w:szCs w:val="24"/>
          <w:lang w:val="ru-RU"/>
        </w:rPr>
        <w:t xml:space="preserve">Стимулирующие выплаты: в соответствии с Положением об оплате труда в </w:t>
      </w:r>
      <w:r>
        <w:rPr>
          <w:rStyle w:val="FontStyle15"/>
          <w:sz w:val="24"/>
          <w:szCs w:val="24"/>
        </w:rPr>
        <w:t>ФКУЗ Ставропольский противочумный институт Роспотребнадзора</w:t>
      </w:r>
      <w:r>
        <w:rPr>
          <w:rStyle w:val="FontStyle15"/>
          <w:sz w:val="24"/>
          <w:szCs w:val="24"/>
          <w:lang w:val="ru-RU"/>
        </w:rPr>
        <w:t>.</w:t>
      </w:r>
    </w:p>
    <w:p>
      <w:pPr>
        <w:pStyle w:val="Normal"/>
        <w:ind w:firstLineChars="171"/>
        <w:rPr>
          <w:rStyle w:val="FontStyle15"/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ind w:firstLineChars="171"/>
        <w:rPr>
          <w:rStyle w:val="FontStyle15"/>
          <w:sz w:val="24"/>
          <w:szCs w:val="24"/>
          <w:lang w:val="ru-RU"/>
        </w:rPr>
      </w:pPr>
      <w:r>
        <w:rPr>
          <w:rStyle w:val="FontStyle15"/>
          <w:sz w:val="24"/>
          <w:szCs w:val="24"/>
          <w:lang w:val="ru-RU"/>
        </w:rPr>
        <w:t>Социальный пакет: в соответствии с Трудовым кодексом РФ.</w:t>
      </w:r>
    </w:p>
    <w:p>
      <w:pPr>
        <w:pStyle w:val="Normal"/>
        <w:ind w:firstLineChars="171"/>
        <w:rPr>
          <w:rStyle w:val="FontStyle15"/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ind w:firstLineChars="171"/>
        <w:jc w:val="both"/>
        <w:rPr>
          <w:rStyle w:val="FontStyle15"/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ind w:firstLineChars="171"/>
        <w:rPr>
          <w:rStyle w:val="FontStyle15"/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sectPr>
      <w:type w:val="nextPage"/>
      <w:pgSz w:w="11906" w:h="16838"/>
      <w:pgMar w:left="1541" w:right="821" w:gutter="0" w:header="0" w:top="832" w:footer="0" w:bottom="110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Carlito">
    <w:altName w:val="Calibri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balanceSingleByteDoubleByteWidth/>
    <w:ulTrailSpace/>
    <w:adjustLineHeightInTable/>
    <w:compatSetting w:name="compatibilityMode" w:uri="http://schemas.microsoft.com/office/word" w:val="12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" w:cstheme="minorBidi" w:eastAsiaTheme="minorEastAsia" w:hAnsiTheme="minorHAns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lineRule="auto" w:line="240" w:before="0" w:after="0"/>
      <w:jc w:val="left"/>
    </w:pPr>
    <w:rPr>
      <w:rFonts w:cs="Times New Roman" w:ascii="Times New Roman" w:hAnsi="Times New Roman" w:eastAsia="宋体" w:eastAsiaTheme="minorEastAsia" w:hAnsiTheme="minorHAnsi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yperlink">
    <w:name w:val="Hyperlink"/>
    <w:basedOn w:val="DefaultParagraphFont"/>
    <w:uiPriority w:val="99"/>
    <w:qFormat/>
    <w:rPr>
      <w:color w:val="000080"/>
      <w:u w:val="single"/>
    </w:rPr>
  </w:style>
  <w:style w:type="character" w:styleId="FontStyle14" w:customStyle="1">
    <w:name w:val="Font Style14"/>
    <w:basedOn w:val="DefaultParagraphFont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styleId="FontStyle15" w:customStyle="1">
    <w:name w:val="Font Style15"/>
    <w:basedOn w:val="DefaultParagraphFont"/>
    <w:uiPriority w:val="99"/>
    <w:qFormat/>
    <w:rPr>
      <w:rFonts w:ascii="Times New Roman" w:hAnsi="Times New Roman" w:cs="Times New Roman"/>
      <w:sz w:val="22"/>
      <w:szCs w:val="22"/>
    </w:rPr>
  </w:style>
  <w:style w:type="character" w:styleId="FontStyle16" w:customStyle="1">
    <w:name w:val="Font Style16"/>
    <w:basedOn w:val="DefaultParagraphFont"/>
    <w:uiPriority w:val="99"/>
    <w:qFormat/>
    <w:rPr>
      <w:rFonts w:ascii="Times New Roman" w:hAnsi="Times New Roman" w:cs="Times New Roman"/>
      <w:spacing w:val="-10"/>
      <w:sz w:val="26"/>
      <w:szCs w:val="26"/>
    </w:rPr>
  </w:style>
  <w:style w:type="character" w:styleId="FontStyle17" w:customStyle="1">
    <w:name w:val="Font Style17"/>
    <w:basedOn w:val="DefaultParagraphFont"/>
    <w:uiPriority w:val="99"/>
    <w:qFormat/>
    <w:rPr>
      <w:rFonts w:ascii="Times New Roman" w:hAnsi="Times New Roman" w:cs="Times New Roman"/>
      <w:b/>
      <w:bCs/>
      <w:spacing w:val="10"/>
      <w:sz w:val="26"/>
      <w:szCs w:val="26"/>
    </w:rPr>
  </w:style>
  <w:style w:type="character" w:styleId="FontStyle18" w:customStyle="1">
    <w:name w:val="Font Style18"/>
    <w:basedOn w:val="DefaultParagraphFont"/>
    <w:uiPriority w:val="99"/>
    <w:qFormat/>
    <w:rPr>
      <w:rFonts w:ascii="Times New Roman" w:hAnsi="Times New Roman" w:cs="Times New Roman"/>
      <w:b/>
      <w:bCs/>
      <w:sz w:val="20"/>
      <w:szCs w:val="20"/>
    </w:rPr>
  </w:style>
  <w:style w:type="character" w:styleId="Style14" w:customStyle="1">
    <w:name w:val="Название Знак"/>
    <w:basedOn w:val="DefaultParagraphFont"/>
    <w:qFormat/>
    <w:rPr>
      <w:rFonts w:eastAsia="Times New Roman" w:cs="Times New Roman"/>
      <w:b/>
      <w:sz w:val="24"/>
      <w:szCs w:val="20"/>
    </w:rPr>
  </w:style>
  <w:style w:type="character" w:styleId="FontStyle11" w:customStyle="1">
    <w:name w:val="Font Style11"/>
    <w:basedOn w:val="DefaultParagraphFont"/>
    <w:uiPriority w:val="99"/>
    <w:qFormat/>
    <w:rPr>
      <w:rFonts w:ascii="Times New Roman" w:hAnsi="Times New Roman" w:cs="Times New Roman"/>
      <w:sz w:val="22"/>
      <w:szCs w:val="22"/>
    </w:rPr>
  </w:style>
  <w:style w:type="character" w:styleId="FontStyle12" w:customStyle="1">
    <w:name w:val="Font Style12"/>
    <w:basedOn w:val="DefaultParagraphFont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styleId="FontStyle13" w:customStyle="1">
    <w:name w:val="Font Style13"/>
    <w:basedOn w:val="DefaultParagraphFont"/>
    <w:uiPriority w:val="99"/>
    <w:qFormat/>
    <w:rPr>
      <w:rFonts w:ascii="Times New Roman" w:hAnsi="Times New Roman" w:cs="Times New Roman"/>
      <w:i/>
      <w:iCs/>
      <w:spacing w:val="-10"/>
      <w:sz w:val="38"/>
      <w:szCs w:val="38"/>
    </w:rPr>
  </w:style>
  <w:style w:type="character" w:styleId="s10" w:customStyle="1">
    <w:name w:val="s_10"/>
    <w:basedOn w:val="DefaultParagraphFont"/>
    <w:rsid w:val="0024119f"/>
    <w:rPr/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24119f"/>
    <w:rPr>
      <w:rFonts w:ascii="Segoe UI" w:hAnsi="Segoe UI" w:cs="Segoe UI"/>
      <w:sz w:val="18"/>
      <w:szCs w:val="18"/>
    </w:rPr>
  </w:style>
  <w:style w:type="paragraph" w:styleId="Style16">
    <w:name w:val="Заголовок"/>
    <w:basedOn w:val="Normal"/>
    <w:next w:val="BodyText"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7">
    <w:name w:val="Указатель"/>
    <w:basedOn w:val="Normal"/>
    <w:pPr>
      <w:suppressLineNumbers/>
    </w:pPr>
    <w:rPr>
      <w:rFonts w:cs="Noto Sans"/>
    </w:rPr>
  </w:style>
  <w:style w:type="paragraph" w:styleId="Title">
    <w:name w:val="Title"/>
    <w:basedOn w:val="Normal"/>
    <w:link w:val="Style14"/>
    <w:qFormat/>
    <w:pPr>
      <w:widowControl/>
      <w:jc w:val="center"/>
    </w:pPr>
    <w:rPr>
      <w:rFonts w:eastAsia="Times New Roman"/>
      <w:b/>
      <w:szCs w:val="20"/>
    </w:rPr>
  </w:style>
  <w:style w:type="paragraph" w:styleId="Style18" w:customStyle="1">
    <w:name w:val="Style1"/>
    <w:basedOn w:val="Normal"/>
    <w:uiPriority w:val="99"/>
    <w:qFormat/>
    <w:pPr>
      <w:spacing w:lineRule="exact" w:line="280"/>
    </w:pPr>
    <w:rPr/>
  </w:style>
  <w:style w:type="paragraph" w:styleId="Style21" w:customStyle="1">
    <w:name w:val="Style2"/>
    <w:basedOn w:val="Normal"/>
    <w:uiPriority w:val="99"/>
    <w:qFormat/>
    <w:pPr/>
    <w:rPr/>
  </w:style>
  <w:style w:type="paragraph" w:styleId="Style31" w:customStyle="1">
    <w:name w:val="Style3"/>
    <w:basedOn w:val="Normal"/>
    <w:uiPriority w:val="99"/>
    <w:qFormat/>
    <w:pPr/>
    <w:rPr/>
  </w:style>
  <w:style w:type="paragraph" w:styleId="Style41" w:customStyle="1">
    <w:name w:val="Style4"/>
    <w:basedOn w:val="Normal"/>
    <w:uiPriority w:val="99"/>
    <w:qFormat/>
    <w:pPr/>
    <w:rPr/>
  </w:style>
  <w:style w:type="paragraph" w:styleId="Style51" w:customStyle="1">
    <w:name w:val="Style5"/>
    <w:basedOn w:val="Normal"/>
    <w:uiPriority w:val="99"/>
    <w:qFormat/>
    <w:pPr>
      <w:spacing w:lineRule="exact" w:line="326"/>
      <w:ind w:hanging="1982"/>
    </w:pPr>
    <w:rPr/>
  </w:style>
  <w:style w:type="paragraph" w:styleId="Style61" w:customStyle="1">
    <w:name w:val="Style6"/>
    <w:basedOn w:val="Normal"/>
    <w:uiPriority w:val="99"/>
    <w:qFormat/>
    <w:pPr>
      <w:spacing w:lineRule="exact" w:line="282"/>
      <w:ind w:firstLine="672"/>
      <w:jc w:val="both"/>
    </w:pPr>
    <w:rPr/>
  </w:style>
  <w:style w:type="paragraph" w:styleId="Style71" w:customStyle="1">
    <w:name w:val="Style7"/>
    <w:basedOn w:val="Normal"/>
    <w:uiPriority w:val="99"/>
    <w:qFormat/>
    <w:pPr/>
    <w:rPr/>
  </w:style>
  <w:style w:type="paragraph" w:styleId="Style81" w:customStyle="1">
    <w:name w:val="Style8"/>
    <w:basedOn w:val="Normal"/>
    <w:uiPriority w:val="99"/>
    <w:qFormat/>
    <w:pPr>
      <w:spacing w:lineRule="exact" w:line="278"/>
      <w:ind w:firstLine="365"/>
      <w:jc w:val="both"/>
    </w:pPr>
    <w:rPr/>
  </w:style>
  <w:style w:type="paragraph" w:styleId="Style91" w:customStyle="1">
    <w:name w:val="Style9"/>
    <w:basedOn w:val="Normal"/>
    <w:uiPriority w:val="99"/>
    <w:qFormat/>
    <w:pPr>
      <w:spacing w:lineRule="exact" w:line="288"/>
      <w:jc w:val="both"/>
    </w:pPr>
    <w:rPr/>
  </w:style>
  <w:style w:type="paragraph" w:styleId="Style101" w:customStyle="1">
    <w:name w:val="Style10"/>
    <w:basedOn w:val="Normal"/>
    <w:uiPriority w:val="99"/>
    <w:qFormat/>
    <w:pPr>
      <w:spacing w:lineRule="exact" w:line="274"/>
    </w:pPr>
    <w:rPr/>
  </w:style>
  <w:style w:type="paragraph" w:styleId="Style111" w:customStyle="1">
    <w:name w:val="Style11"/>
    <w:basedOn w:val="Normal"/>
    <w:uiPriority w:val="99"/>
    <w:qFormat/>
    <w:pPr/>
    <w:rPr/>
  </w:style>
  <w:style w:type="paragraph" w:styleId="Style121" w:customStyle="1">
    <w:name w:val="Style12"/>
    <w:basedOn w:val="Normal"/>
    <w:uiPriority w:val="99"/>
    <w:qFormat/>
    <w:pPr/>
    <w:rPr/>
  </w:style>
  <w:style w:type="paragraph" w:styleId="s1" w:customStyle="1">
    <w:name w:val="s_1"/>
    <w:basedOn w:val="Normal"/>
    <w:rsid w:val="0024119f"/>
    <w:pPr>
      <w:widowControl/>
      <w:spacing w:beforeAutospacing="1" w:afterAutospacing="1"/>
    </w:pPr>
    <w:rPr>
      <w:rFonts w:eastAsia="Times New Roman"/>
    </w:rPr>
  </w:style>
  <w:style w:type="paragraph" w:styleId="s9" w:customStyle="1">
    <w:name w:val="s_9"/>
    <w:basedOn w:val="Normal"/>
    <w:rsid w:val="0024119f"/>
    <w:pPr>
      <w:widowControl/>
      <w:spacing w:beforeAutospacing="1" w:afterAutospacing="1"/>
    </w:pPr>
    <w:rPr>
      <w:rFonts w:eastAsia="Times New Roman"/>
    </w:rPr>
  </w:style>
  <w:style w:type="paragraph" w:styleId="BalloonText">
    <w:name w:val="Balloon Text"/>
    <w:basedOn w:val="Normal"/>
    <w:link w:val="Style15"/>
    <w:uiPriority w:val="99"/>
    <w:semiHidden/>
    <w:unhideWhenUsed/>
    <w:rsid w:val="0024119f"/>
    <w:pPr/>
    <w:rPr>
      <w:rFonts w:ascii="Segoe UI" w:hAnsi="Segoe UI" w:cs="Segoe UI"/>
      <w:sz w:val="18"/>
      <w:szCs w:val="18"/>
    </w:rPr>
  </w:style>
  <w:style w:type="numbering" w:styleId="Style19" w:default="1">
    <w:name w:val="Без списка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qFormat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-30536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-305360"/>
              </a:schemeClr>
            </a:gs>
            <a:gs pos="40000">
              <a:schemeClr val="phClr">
                <a:tint val="45000"/>
                <a:shade val="99000"/>
                <a:satMod val="-30536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Application>Collabora_Office/26.04.3.2$Linux_X86_64 LibreOffice_project/cc5614c67e8de6450d98a0e125814305df650b64</Application>
  <AppVersion>15.0000</AppVersion>
  <Pages>1</Pages>
  <Words>306</Words>
  <Characters>2287</Characters>
  <CharactersWithSpaces>2580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2015-08-04T20:47:00Z</dcterms:created>
  <dc:creator>совет</dc:creator>
  <dc:description/>
  <dc:language>ru</dc:language>
  <cp:lastModifiedBy/>
  <cp:lastPrinted>2022-06-27T07:44:00Z</cp:lastPrinted>
  <dcterms:modified xsi:type="dcterms:W3CDTF">2026-10-20T11:06:08Z</dcterms:modified>
  <cp:revision>142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1049-11.1.0.8865</vt:lpwstr>
  </property>
</Properties>
</file>